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BE30B4" w:rsidRPr="00BE30B4" w:rsidRDefault="0050749B" w:rsidP="00BE30B4">
      <w:pPr>
        <w:widowControl/>
        <w:suppressAutoHyphens w:val="0"/>
        <w:rPr>
          <w:rFonts w:ascii="Myriad Pro Black" w:hAnsi="Myriad Pro Black"/>
          <w:color w:val="365F91" w:themeColor="accent1" w:themeShade="BF"/>
          <w:sz w:val="30"/>
          <w:szCs w:val="30"/>
          <w:lang w:val="en-GB"/>
        </w:rPr>
      </w:pPr>
      <w:r w:rsidRPr="0050749B">
        <w:rPr>
          <w:rFonts w:ascii="Myriad Pro Black" w:hAnsi="Myriad Pro Black"/>
          <w:color w:val="365F91" w:themeColor="accent1" w:themeShade="BF"/>
          <w:sz w:val="30"/>
          <w:szCs w:val="30"/>
          <w:lang w:val="en-GB"/>
        </w:rPr>
        <w:t xml:space="preserve">Der </w:t>
      </w:r>
      <w:proofErr w:type="spellStart"/>
      <w:r w:rsidRPr="0050749B">
        <w:rPr>
          <w:rFonts w:ascii="Myriad Pro Black" w:hAnsi="Myriad Pro Black"/>
          <w:color w:val="365F91" w:themeColor="accent1" w:themeShade="BF"/>
          <w:sz w:val="30"/>
          <w:szCs w:val="30"/>
          <w:lang w:val="en-GB"/>
        </w:rPr>
        <w:t>neue</w:t>
      </w:r>
      <w:proofErr w:type="spellEnd"/>
      <w:r w:rsidRPr="0050749B">
        <w:rPr>
          <w:rFonts w:ascii="Myriad Pro Black" w:hAnsi="Myriad Pro Black"/>
          <w:color w:val="365F91" w:themeColor="accent1" w:themeShade="BF"/>
          <w:sz w:val="30"/>
          <w:szCs w:val="30"/>
          <w:lang w:val="en-GB"/>
        </w:rPr>
        <w:t xml:space="preserve"> Newland N7 Cachalot Pro </w:t>
      </w:r>
      <w:proofErr w:type="spellStart"/>
      <w:r w:rsidRPr="0050749B">
        <w:rPr>
          <w:rFonts w:ascii="Myriad Pro Black" w:hAnsi="Myriad Pro Black"/>
          <w:color w:val="365F91" w:themeColor="accent1" w:themeShade="BF"/>
          <w:sz w:val="30"/>
          <w:szCs w:val="30"/>
          <w:lang w:val="en-GB"/>
        </w:rPr>
        <w:t>Barcodescanner</w:t>
      </w:r>
      <w:proofErr w:type="spellEnd"/>
      <w:r w:rsidRPr="0050749B">
        <w:rPr>
          <w:rFonts w:ascii="Myriad Pro Black" w:hAnsi="Myriad Pro Black"/>
          <w:color w:val="365F91" w:themeColor="accent1" w:themeShade="BF"/>
          <w:sz w:val="30"/>
          <w:szCs w:val="30"/>
          <w:lang w:val="en-GB"/>
        </w:rPr>
        <w:t xml:space="preserve"> - Ab </w:t>
      </w:r>
      <w:proofErr w:type="spellStart"/>
      <w:r w:rsidRPr="0050749B">
        <w:rPr>
          <w:rFonts w:ascii="Myriad Pro Black" w:hAnsi="Myriad Pro Black"/>
          <w:color w:val="365F91" w:themeColor="accent1" w:themeShade="BF"/>
          <w:sz w:val="30"/>
          <w:szCs w:val="30"/>
          <w:lang w:val="en-GB"/>
        </w:rPr>
        <w:t>sofort</w:t>
      </w:r>
      <w:proofErr w:type="spellEnd"/>
      <w:r w:rsidRPr="0050749B">
        <w:rPr>
          <w:rFonts w:ascii="Myriad Pro Black" w:hAnsi="Myriad Pro Black"/>
          <w:color w:val="365F91" w:themeColor="accent1" w:themeShade="BF"/>
          <w:sz w:val="30"/>
          <w:szCs w:val="30"/>
          <w:lang w:val="en-GB"/>
        </w:rPr>
        <w:t xml:space="preserve"> </w:t>
      </w:r>
      <w:proofErr w:type="spellStart"/>
      <w:r w:rsidRPr="0050749B">
        <w:rPr>
          <w:rFonts w:ascii="Myriad Pro Black" w:hAnsi="Myriad Pro Black"/>
          <w:color w:val="365F91" w:themeColor="accent1" w:themeShade="BF"/>
          <w:sz w:val="30"/>
          <w:szCs w:val="30"/>
          <w:lang w:val="en-GB"/>
        </w:rPr>
        <w:t>erhätlich</w:t>
      </w:r>
      <w:proofErr w:type="spellEnd"/>
      <w:r w:rsidRPr="0050749B">
        <w:rPr>
          <w:rFonts w:ascii="Myriad Pro Black" w:hAnsi="Myriad Pro Black"/>
          <w:color w:val="365F91" w:themeColor="accent1" w:themeShade="BF"/>
          <w:sz w:val="30"/>
          <w:szCs w:val="30"/>
          <w:lang w:val="en-GB"/>
        </w:rPr>
        <w:t xml:space="preserve"> </w:t>
      </w:r>
      <w:proofErr w:type="spellStart"/>
      <w:r w:rsidRPr="0050749B">
        <w:rPr>
          <w:rFonts w:ascii="Myriad Pro Black" w:hAnsi="Myriad Pro Black"/>
          <w:color w:val="365F91" w:themeColor="accent1" w:themeShade="BF"/>
          <w:sz w:val="30"/>
          <w:szCs w:val="30"/>
          <w:lang w:val="en-GB"/>
        </w:rPr>
        <w:t>bei</w:t>
      </w:r>
      <w:proofErr w:type="spellEnd"/>
      <w:r w:rsidRPr="0050749B">
        <w:rPr>
          <w:rFonts w:ascii="Myriad Pro Black" w:hAnsi="Myriad Pro Black"/>
          <w:color w:val="365F91" w:themeColor="accent1" w:themeShade="BF"/>
          <w:sz w:val="30"/>
          <w:szCs w:val="30"/>
          <w:lang w:val="en-GB"/>
        </w:rPr>
        <w:t xml:space="preserve"> ICO Innovative C</w:t>
      </w:r>
      <w:bookmarkStart w:id="0" w:name="_GoBack"/>
      <w:bookmarkEnd w:id="0"/>
      <w:r w:rsidRPr="0050749B">
        <w:rPr>
          <w:rFonts w:ascii="Myriad Pro Black" w:hAnsi="Myriad Pro Black"/>
          <w:color w:val="365F91" w:themeColor="accent1" w:themeShade="BF"/>
          <w:sz w:val="30"/>
          <w:szCs w:val="30"/>
          <w:lang w:val="en-GB"/>
        </w:rPr>
        <w:t>omputer GmbH</w:t>
      </w:r>
    </w:p>
    <w:p w:rsidR="001C79A0" w:rsidRDefault="0050749B" w:rsidP="00C03D07">
      <w:pPr>
        <w:widowControl/>
        <w:suppressAutoHyphens w:val="0"/>
        <w:rPr>
          <w:rFonts w:ascii="Myriad Pro" w:hAnsi="Myriad Pro"/>
        </w:rPr>
      </w:pPr>
      <w:r>
        <w:rPr>
          <w:rFonts w:ascii="Myriad Pro Black" w:hAnsi="Myriad Pro Black"/>
          <w:noProof/>
          <w:color w:val="365F91" w:themeColor="accent1" w:themeShade="BF"/>
          <w:sz w:val="30"/>
          <w:szCs w:val="30"/>
          <w:lang w:val="en-GB"/>
        </w:rPr>
        <w:drawing>
          <wp:anchor distT="0" distB="0" distL="114300" distR="114300" simplePos="0" relativeHeight="251658240" behindDoc="0" locked="0" layoutInCell="1" allowOverlap="1">
            <wp:simplePos x="0" y="0"/>
            <wp:positionH relativeFrom="margin">
              <wp:posOffset>-701040</wp:posOffset>
            </wp:positionH>
            <wp:positionV relativeFrom="paragraph">
              <wp:posOffset>188595</wp:posOffset>
            </wp:positionV>
            <wp:extent cx="2473325" cy="1466850"/>
            <wp:effectExtent l="0" t="0" r="3175"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73325" cy="14668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0749B" w:rsidRPr="0050749B" w:rsidRDefault="0050749B" w:rsidP="0050749B">
      <w:pPr>
        <w:rPr>
          <w:b/>
        </w:rPr>
      </w:pPr>
      <w:r w:rsidRPr="0050749B">
        <w:rPr>
          <w:b/>
        </w:rPr>
        <w:t xml:space="preserve">Das N7 </w:t>
      </w:r>
      <w:proofErr w:type="spellStart"/>
      <w:r w:rsidRPr="0050749B">
        <w:rPr>
          <w:b/>
        </w:rPr>
        <w:t>Cachalot</w:t>
      </w:r>
      <w:proofErr w:type="spellEnd"/>
      <w:r w:rsidRPr="0050749B">
        <w:rPr>
          <w:b/>
        </w:rPr>
        <w:t xml:space="preserve"> Pro erweitert das </w:t>
      </w:r>
      <w:proofErr w:type="spellStart"/>
      <w:r w:rsidRPr="0050749B">
        <w:rPr>
          <w:b/>
        </w:rPr>
        <w:t>Newland</w:t>
      </w:r>
      <w:proofErr w:type="spellEnd"/>
      <w:r w:rsidRPr="0050749B">
        <w:rPr>
          <w:b/>
        </w:rPr>
        <w:t xml:space="preserve">-Portfolio um robuste Lager- und Logistikanwendungen. Es bietet eine höhere Verarbeitungsgeschwindigkeit, Fast-Roaming-Wireless-Verbindungen, höhere Drop- und IP-Ratings und zusätzliche Flexibilität durch eine Auswahl von 3 Tastaturlayouts. Das N7 </w:t>
      </w:r>
      <w:proofErr w:type="spellStart"/>
      <w:r w:rsidRPr="0050749B">
        <w:rPr>
          <w:b/>
        </w:rPr>
        <w:t>Cachalot</w:t>
      </w:r>
      <w:proofErr w:type="spellEnd"/>
      <w:r w:rsidRPr="0050749B">
        <w:rPr>
          <w:b/>
        </w:rPr>
        <w:t xml:space="preserve"> Pro steigert die logistische Leistung durch sein Android 10-Betriebssystem, das auf einem Qualcomm-Prozessor läuft. Der ausgewählte Chipsatz verleiht dem Mobilcomputer den Status Android Enterprise Recommended (AER).</w:t>
      </w:r>
    </w:p>
    <w:p w:rsidR="0050749B" w:rsidRDefault="0050749B" w:rsidP="0050749B"/>
    <w:p w:rsidR="0050749B" w:rsidRPr="0050749B" w:rsidRDefault="0050749B" w:rsidP="0050749B">
      <w:pPr>
        <w:rPr>
          <w:b/>
        </w:rPr>
      </w:pPr>
      <w:proofErr w:type="spellStart"/>
      <w:r w:rsidRPr="0050749B">
        <w:rPr>
          <w:b/>
        </w:rPr>
        <w:t>Newlands</w:t>
      </w:r>
      <w:proofErr w:type="spellEnd"/>
      <w:r w:rsidRPr="0050749B">
        <w:rPr>
          <w:b/>
        </w:rPr>
        <w:t xml:space="preserve"> beste Bildschirmtechnologie: </w:t>
      </w:r>
    </w:p>
    <w:p w:rsidR="0050749B" w:rsidRDefault="0050749B" w:rsidP="0050749B">
      <w:r>
        <w:t xml:space="preserve">Der 4-Zoll-HD-Bildschirm besitzt eine hohe Transparenz und ein geringes Reflexionsvermögen, um kristallklare Bilder zu liefern – auch bei Sonnenlicht. Der Touchscreen reagiert auch bei der Berührung mit Handschuhen und behält seine Empfindlichkeit auch bei Nässe. Gorilla Glass 3 sorgt für einen zusätzlichen Schutz des N7 </w:t>
      </w:r>
      <w:proofErr w:type="spellStart"/>
      <w:r>
        <w:t>Cachalot</w:t>
      </w:r>
      <w:proofErr w:type="spellEnd"/>
      <w:r>
        <w:t xml:space="preserve"> Pro und macht es widerstandsfähiger und schadensresistenter, was das Gerät zum perfekten Begleiter in rauen Umgebungen macht.</w:t>
      </w:r>
    </w:p>
    <w:p w:rsidR="0050749B" w:rsidRDefault="0050749B" w:rsidP="0050749B"/>
    <w:p w:rsidR="0050749B" w:rsidRPr="0050749B" w:rsidRDefault="0050749B" w:rsidP="0050749B">
      <w:pPr>
        <w:rPr>
          <w:b/>
        </w:rPr>
      </w:pPr>
      <w:r w:rsidRPr="0050749B">
        <w:rPr>
          <w:b/>
        </w:rPr>
        <w:t>Android Enterprise Recommended (AER):</w:t>
      </w:r>
    </w:p>
    <w:p w:rsidR="0050749B" w:rsidRDefault="0050749B" w:rsidP="0050749B">
      <w:r>
        <w:t xml:space="preserve">Das N7 </w:t>
      </w:r>
      <w:proofErr w:type="spellStart"/>
      <w:r>
        <w:t>Cachalot</w:t>
      </w:r>
      <w:proofErr w:type="spellEnd"/>
      <w:r>
        <w:t xml:space="preserve"> Pro trägt das AER-Gütesiegel von Google, das signalisiert, dass es die Leistungs- und Sicherheitsupgrades des Betriebssystems und der Kernfunktionen stets auf dem neuesten Stand hält. Diese Auszeichnung in Kombination mit </w:t>
      </w:r>
      <w:proofErr w:type="spellStart"/>
      <w:r>
        <w:t>Newlands</w:t>
      </w:r>
      <w:proofErr w:type="spellEnd"/>
      <w:r>
        <w:t xml:space="preserve"> kostenlosem MDM </w:t>
      </w:r>
      <w:proofErr w:type="spellStart"/>
      <w:r>
        <w:t>Ndevor</w:t>
      </w:r>
      <w:proofErr w:type="spellEnd"/>
      <w:r>
        <w:t xml:space="preserve"> ermöglicht Kunden eine sichere Sichtbarkeit und Kontrolle über ihre Geräte – ganz unabhängig vom Standort. </w:t>
      </w:r>
    </w:p>
    <w:p w:rsidR="0050749B" w:rsidRDefault="0050749B" w:rsidP="0050749B"/>
    <w:p w:rsidR="0050749B" w:rsidRDefault="0050749B" w:rsidP="0050749B">
      <w:r>
        <w:t xml:space="preserve">Das N7 </w:t>
      </w:r>
      <w:proofErr w:type="spellStart"/>
      <w:r>
        <w:t>Cachalot</w:t>
      </w:r>
      <w:proofErr w:type="spellEnd"/>
      <w:r>
        <w:t xml:space="preserve"> Pro unterstützt Schnellladung für seinen 5100-mAh-Akku und ist Hot-Swap-fähig. So läuft Ihr Programm weiter und die Wifi-Verbindung bleibt erhalten, auch wenn Sie den Akku vollständig herausnehmen, um ihn durch einen neuen zu ersetzen.</w:t>
      </w:r>
    </w:p>
    <w:p w:rsidR="0050749B" w:rsidRDefault="0050749B" w:rsidP="0050749B"/>
    <w:p w:rsidR="0050749B" w:rsidRDefault="0050749B" w:rsidP="0050749B">
      <w:r>
        <w:t xml:space="preserve">Nah- und Fernabtastung, </w:t>
      </w:r>
      <w:proofErr w:type="spellStart"/>
      <w:r>
        <w:t>Acuscan</w:t>
      </w:r>
      <w:proofErr w:type="spellEnd"/>
      <w:r>
        <w:t xml:space="preserve">- und Multi-Read-Modus: Der N7 </w:t>
      </w:r>
      <w:proofErr w:type="spellStart"/>
      <w:r>
        <w:t>Cachalot</w:t>
      </w:r>
      <w:proofErr w:type="spellEnd"/>
      <w:r>
        <w:t xml:space="preserve"> Pro bietet eine Auswahl an Megapixel-2D-Scan-Engines. Die Version mit Standard-Reichweite und </w:t>
      </w:r>
      <w:proofErr w:type="spellStart"/>
      <w:r>
        <w:t>Acuscan</w:t>
      </w:r>
      <w:proofErr w:type="spellEnd"/>
      <w:r>
        <w:t xml:space="preserve"> ermöglicht das standardmäßige, genaue Scannen von Codes im Nahbereich oder kleineren Objekten.</w:t>
      </w:r>
    </w:p>
    <w:p w:rsidR="0050749B" w:rsidRDefault="0050749B" w:rsidP="0050749B"/>
    <w:p w:rsidR="0050749B" w:rsidRDefault="0050749B" w:rsidP="0050749B">
      <w:r>
        <w:t xml:space="preserve">Alternativ ist die Mid-Range-Version in der Lage, Codes auf Kartons und Paletten aus größerer Entfernung zu lesen. Beide Scanner bieten den Multi-Read-Modus von </w:t>
      </w:r>
      <w:proofErr w:type="spellStart"/>
      <w:r>
        <w:t>Newland</w:t>
      </w:r>
      <w:proofErr w:type="spellEnd"/>
      <w:r>
        <w:t>.</w:t>
      </w:r>
    </w:p>
    <w:p w:rsidR="0050749B" w:rsidRDefault="0050749B" w:rsidP="0050749B">
      <w:r>
        <w:t xml:space="preserve">Die Schlüssel zum Entsperren von </w:t>
      </w:r>
      <w:proofErr w:type="spellStart"/>
      <w:proofErr w:type="gramStart"/>
      <w:r>
        <w:t>Anwendungen:Das</w:t>
      </w:r>
      <w:proofErr w:type="spellEnd"/>
      <w:proofErr w:type="gramEnd"/>
      <w:r>
        <w:t xml:space="preserve"> N7 </w:t>
      </w:r>
      <w:proofErr w:type="spellStart"/>
      <w:r>
        <w:t>Cachalot</w:t>
      </w:r>
      <w:proofErr w:type="spellEnd"/>
      <w:r>
        <w:t xml:space="preserve"> Pro ist so konzipiert, dass es sich an viele verschiedene Anwendungen anpassen lässt, für die eine physische Tastatur immer noch bevorzugt wird. Es bietet die Flexibilität, zwischen einem Tastenfeld mit 29, 38 oder 47 Schaltflächen zu wählen (ohne Seitenscan-Schaltflächen). Jede der drei Konfigurationen ist hintergrundbeleuchtet für gute Sichtbarkeit in dunklen Arbeitsumgebungen.</w:t>
      </w:r>
    </w:p>
    <w:p w:rsidR="0050749B" w:rsidRPr="00EB278B" w:rsidRDefault="00916362" w:rsidP="0050749B">
      <w:hyperlink r:id="rId9" w:history="1">
        <w:r w:rsidR="0050749B" w:rsidRPr="0045074F">
          <w:rPr>
            <w:rStyle w:val="Hyperlink"/>
            <w:rFonts w:ascii="Segoe UI" w:hAnsi="Segoe UI" w:cs="Segoe UI"/>
            <w:shd w:val="clear" w:color="auto" w:fill="FFFFFF"/>
          </w:rPr>
          <w:t xml:space="preserve">Hier geht es zum </w:t>
        </w:r>
        <w:proofErr w:type="spellStart"/>
        <w:r w:rsidR="0050749B" w:rsidRPr="0045074F">
          <w:rPr>
            <w:rStyle w:val="Hyperlink"/>
            <w:rFonts w:ascii="Segoe UI" w:hAnsi="Segoe UI" w:cs="Segoe UI"/>
            <w:shd w:val="clear" w:color="auto" w:fill="FFFFFF"/>
          </w:rPr>
          <w:t>Newland</w:t>
        </w:r>
        <w:proofErr w:type="spellEnd"/>
        <w:r w:rsidR="0050749B" w:rsidRPr="0045074F">
          <w:rPr>
            <w:rStyle w:val="Hyperlink"/>
            <w:rFonts w:ascii="Segoe UI" w:hAnsi="Segoe UI" w:cs="Segoe UI"/>
            <w:shd w:val="clear" w:color="auto" w:fill="FFFFFF"/>
          </w:rPr>
          <w:t xml:space="preserve"> N7 </w:t>
        </w:r>
        <w:proofErr w:type="spellStart"/>
        <w:r w:rsidR="0050749B" w:rsidRPr="0045074F">
          <w:rPr>
            <w:rStyle w:val="Hyperlink"/>
            <w:rFonts w:ascii="Segoe UI" w:hAnsi="Segoe UI" w:cs="Segoe UI"/>
            <w:shd w:val="clear" w:color="auto" w:fill="FFFFFF"/>
          </w:rPr>
          <w:t>Cachalot</w:t>
        </w:r>
        <w:proofErr w:type="spellEnd"/>
        <w:r w:rsidR="0050749B" w:rsidRPr="0045074F">
          <w:rPr>
            <w:rStyle w:val="Hyperlink"/>
            <w:rFonts w:ascii="Segoe UI" w:hAnsi="Segoe UI" w:cs="Segoe UI"/>
            <w:shd w:val="clear" w:color="auto" w:fill="FFFFFF"/>
          </w:rPr>
          <w:t xml:space="preserve"> PRO Barcodescanner</w:t>
        </w:r>
      </w:hyperlink>
      <w:r w:rsidR="0050749B">
        <w:rPr>
          <w:rFonts w:ascii="Segoe UI" w:hAnsi="Segoe UI" w:cs="Segoe UI"/>
          <w:color w:val="212529"/>
        </w:rPr>
        <w:br/>
      </w:r>
      <w:hyperlink r:id="rId10" w:history="1">
        <w:r w:rsidR="0050749B" w:rsidRPr="0045074F">
          <w:rPr>
            <w:rStyle w:val="Hyperlink"/>
            <w:rFonts w:ascii="Segoe UI" w:hAnsi="Segoe UI" w:cs="Segoe UI"/>
            <w:shd w:val="clear" w:color="auto" w:fill="FFFFFF"/>
          </w:rPr>
          <w:t xml:space="preserve">Hier geht es zur Übersicht für alle </w:t>
        </w:r>
        <w:proofErr w:type="spellStart"/>
        <w:r w:rsidR="0050749B" w:rsidRPr="0045074F">
          <w:rPr>
            <w:rStyle w:val="Hyperlink"/>
            <w:rFonts w:ascii="Segoe UI" w:hAnsi="Segoe UI" w:cs="Segoe UI"/>
            <w:shd w:val="clear" w:color="auto" w:fill="FFFFFF"/>
          </w:rPr>
          <w:t>Bacodescanner</w:t>
        </w:r>
        <w:proofErr w:type="spellEnd"/>
        <w:r w:rsidR="0050749B" w:rsidRPr="0045074F">
          <w:rPr>
            <w:rStyle w:val="Hyperlink"/>
            <w:rFonts w:ascii="Segoe UI" w:hAnsi="Segoe UI" w:cs="Segoe UI"/>
            <w:shd w:val="clear" w:color="auto" w:fill="FFFFFF"/>
          </w:rPr>
          <w:t xml:space="preserve"> von </w:t>
        </w:r>
        <w:proofErr w:type="spellStart"/>
        <w:r w:rsidR="0050749B" w:rsidRPr="0045074F">
          <w:rPr>
            <w:rStyle w:val="Hyperlink"/>
            <w:rFonts w:ascii="Segoe UI" w:hAnsi="Segoe UI" w:cs="Segoe UI"/>
            <w:shd w:val="clear" w:color="auto" w:fill="FFFFFF"/>
          </w:rPr>
          <w:t>Newland</w:t>
        </w:r>
        <w:proofErr w:type="spellEnd"/>
      </w:hyperlink>
    </w:p>
    <w:p w:rsidR="0050749B" w:rsidRPr="0050749B" w:rsidRDefault="0050749B" w:rsidP="0050749B">
      <w:pPr>
        <w:widowControl/>
        <w:suppressAutoHyphens w:val="0"/>
        <w:rPr>
          <w:rFonts w:ascii="Myriad Pro" w:hAnsi="Myriad Pro"/>
          <w:b/>
          <w:sz w:val="20"/>
          <w:szCs w:val="20"/>
        </w:rPr>
      </w:pPr>
    </w:p>
    <w:p w:rsidR="00C43676" w:rsidRDefault="00C43676" w:rsidP="001C79A0">
      <w:pPr>
        <w:rPr>
          <w:rFonts w:ascii="Myriad Pro" w:hAnsi="Myriad Pro" w:cs="Arial"/>
          <w:sz w:val="22"/>
          <w:szCs w:val="22"/>
        </w:rPr>
      </w:pPr>
    </w:p>
    <w:p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1" w:history="1">
        <w:r w:rsidRPr="001C79A0">
          <w:rPr>
            <w:rStyle w:val="Hyperlink"/>
            <w:rFonts w:ascii="Myriad Pro" w:hAnsi="Myriad Pro" w:cs="Arial"/>
            <w:b/>
            <w:sz w:val="22"/>
            <w:szCs w:val="22"/>
          </w:rPr>
          <w:t>www.ico.de/presse</w:t>
        </w:r>
      </w:hyperlink>
    </w:p>
    <w:p w:rsidR="001C79A0" w:rsidRDefault="001C79A0" w:rsidP="001C79A0">
      <w:pPr>
        <w:rPr>
          <w:rFonts w:ascii="Myriad Pro" w:hAnsi="Myriad Pro" w:cs="Arial"/>
          <w:b/>
          <w:sz w:val="22"/>
          <w:szCs w:val="22"/>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rsidR="001C79A0" w:rsidRPr="001C79A0" w:rsidRDefault="001C79A0" w:rsidP="001C79A0">
      <w:pPr>
        <w:rPr>
          <w:rFonts w:ascii="Myriad Pro" w:hAnsi="Myriad Pro" w:cs="Arial"/>
          <w:b/>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Hanno Detjen</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Sabrina Wagner</w:t>
      </w:r>
      <w:r w:rsidRPr="001C79A0">
        <w:rPr>
          <w:rFonts w:ascii="Myriad Pro" w:hAnsi="Myriad Pro" w:cs="Arial"/>
          <w:sz w:val="20"/>
          <w:szCs w:val="20"/>
        </w:rPr>
        <w:br/>
        <w:t>Marketingleiter</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Marketing Assistentin</w:t>
      </w:r>
      <w:r w:rsidRPr="001C79A0">
        <w:rPr>
          <w:rFonts w:ascii="Arial" w:hAnsi="Arial" w:cs="Arial"/>
          <w:sz w:val="20"/>
          <w:szCs w:val="20"/>
        </w:rPr>
        <w:t>‎</w:t>
      </w:r>
    </w:p>
    <w:p w:rsid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15 / 65582 Diez</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Tel:  06432 9139 470</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Tel:  06432 9139 471</w:t>
      </w:r>
      <w:r w:rsidRPr="001C79A0">
        <w:rPr>
          <w:rFonts w:ascii="Myriad Pro" w:hAnsi="Myriad Pro" w:cs="Arial"/>
          <w:sz w:val="20"/>
          <w:szCs w:val="20"/>
        </w:rPr>
        <w:br/>
        <w:t>Fax: 06432 9139 2470</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Fax: 06432 9139 2471</w:t>
      </w:r>
    </w:p>
    <w:p w:rsid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Email: </w:t>
      </w:r>
      <w:r w:rsidRPr="001C79A0">
        <w:rPr>
          <w:rFonts w:ascii="Myriad Pro" w:hAnsi="Myriad Pro" w:cs="Arial"/>
          <w:sz w:val="20"/>
          <w:szCs w:val="20"/>
        </w:rPr>
        <w:tab/>
      </w:r>
      <w:hyperlink r:id="rId12" w:history="1">
        <w:r w:rsidRPr="001C79A0">
          <w:rPr>
            <w:rStyle w:val="Hyperlink"/>
            <w:rFonts w:ascii="Myriad Pro" w:hAnsi="Myriad Pro" w:cs="Arial"/>
            <w:sz w:val="20"/>
            <w:szCs w:val="20"/>
          </w:rPr>
          <w:t>h.detjen@ico.de</w:t>
        </w:r>
      </w:hyperlink>
      <w:r w:rsidRPr="001C79A0">
        <w:rPr>
          <w:rFonts w:ascii="Myriad Pro" w:hAnsi="Myriad Pro" w:cs="Arial"/>
          <w:sz w:val="20"/>
          <w:szCs w:val="20"/>
        </w:rPr>
        <w:tab/>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E-Mail:</w:t>
      </w:r>
      <w:r w:rsidRPr="001C79A0">
        <w:rPr>
          <w:rFonts w:ascii="Myriad Pro" w:hAnsi="Myriad Pro" w:cs="Arial"/>
          <w:sz w:val="20"/>
          <w:szCs w:val="20"/>
        </w:rPr>
        <w:tab/>
      </w:r>
      <w:hyperlink r:id="rId13" w:history="1">
        <w:r w:rsidRPr="001C79A0">
          <w:rPr>
            <w:rStyle w:val="Hyperlink"/>
            <w:rFonts w:ascii="Myriad Pro" w:hAnsi="Myriad Pro" w:cs="Arial"/>
            <w:sz w:val="20"/>
            <w:szCs w:val="20"/>
          </w:rPr>
          <w:t>s.wagner@ico.de</w:t>
        </w:r>
      </w:hyperlink>
      <w:r w:rsidRPr="001C79A0">
        <w:rPr>
          <w:rFonts w:ascii="Myriad Pro" w:hAnsi="Myriad Pro" w:cs="Arial"/>
          <w:sz w:val="20"/>
          <w:szCs w:val="20"/>
        </w:rPr>
        <w:br/>
        <w:t>Web:</w:t>
      </w:r>
      <w:r w:rsidRPr="001C79A0">
        <w:rPr>
          <w:rFonts w:ascii="Myriad Pro" w:hAnsi="Myriad Pro" w:cs="Arial"/>
          <w:sz w:val="20"/>
          <w:szCs w:val="20"/>
        </w:rPr>
        <w:tab/>
      </w:r>
      <w:hyperlink r:id="rId14" w:history="1">
        <w:r w:rsidRPr="001C79A0">
          <w:rPr>
            <w:rStyle w:val="Hyperlink"/>
            <w:rFonts w:ascii="Myriad Pro" w:hAnsi="Myriad Pro" w:cs="Arial"/>
            <w:sz w:val="20"/>
            <w:szCs w:val="20"/>
          </w:rPr>
          <w:t>www.ico.de</w:t>
        </w:r>
      </w:hyperlink>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Web:</w:t>
      </w:r>
      <w:r w:rsidRPr="001C79A0">
        <w:rPr>
          <w:rFonts w:ascii="Myriad Pro" w:hAnsi="Myriad Pro" w:cs="Arial"/>
          <w:sz w:val="20"/>
          <w:szCs w:val="20"/>
        </w:rPr>
        <w:tab/>
      </w:r>
      <w:hyperlink r:id="rId15" w:history="1">
        <w:r w:rsidRPr="001C79A0">
          <w:rPr>
            <w:rStyle w:val="Hyperlink"/>
            <w:rFonts w:ascii="Myriad Pro" w:hAnsi="Myriad Pro" w:cs="Arial"/>
            <w:sz w:val="20"/>
            <w:szCs w:val="20"/>
          </w:rPr>
          <w:t>www.ico.de</w:t>
        </w:r>
      </w:hyperlink>
    </w:p>
    <w:p w:rsidR="001C79A0" w:rsidRPr="001C79A0" w:rsidRDefault="001C79A0" w:rsidP="00C03D07">
      <w:pPr>
        <w:widowControl/>
        <w:suppressAutoHyphens w:val="0"/>
        <w:rPr>
          <w:rFonts w:ascii="Myriad Pro" w:hAnsi="Myriad Pro"/>
          <w:sz w:val="20"/>
          <w:szCs w:val="20"/>
        </w:rPr>
      </w:pPr>
    </w:p>
    <w:sectPr w:rsidR="001C79A0" w:rsidRPr="001C79A0" w:rsidSect="00342D79">
      <w:headerReference w:type="even" r:id="rId16"/>
      <w:headerReference w:type="default" r:id="rId17"/>
      <w:footerReference w:type="even" r:id="rId18"/>
      <w:footerReference w:type="default" r:id="rId19"/>
      <w:headerReference w:type="first" r:id="rId20"/>
      <w:footerReference w:type="first" r:id="rId21"/>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16362" w:rsidRDefault="00916362">
      <w:r>
        <w:separator/>
      </w:r>
    </w:p>
  </w:endnote>
  <w:endnote w:type="continuationSeparator" w:id="0">
    <w:p w:rsidR="00916362" w:rsidRDefault="009163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Pr="007C67D8">
                            <w:rPr>
                              <w:rFonts w:ascii="Arial" w:hAnsi="Arial" w:cs="Arial"/>
                              <w:color w:val="FFFFFF" w:themeColor="background1"/>
                              <w:sz w:val="14"/>
                              <w:szCs w:val="14"/>
                            </w:rPr>
                            <w:t>ID: DE 246038247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Pr="007C67D8">
                      <w:rPr>
                        <w:rFonts w:ascii="Arial" w:hAnsi="Arial" w:cs="Arial"/>
                        <w:color w:val="FFFFFF" w:themeColor="background1"/>
                        <w:sz w:val="14"/>
                        <w:szCs w:val="14"/>
                      </w:rPr>
                      <w:t>ID: DE 246038247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7122C5" w:rsidP="00AB3D42">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00AB3D42" w:rsidRPr="007C67D8">
                            <w:rPr>
                              <w:rFonts w:ascii="Arial" w:hAnsi="Arial" w:cs="Arial"/>
                              <w:color w:val="FFFFFF" w:themeColor="background1"/>
                              <w:sz w:val="14"/>
                              <w:szCs w:val="14"/>
                            </w:rPr>
                            <w:t>ID: DE 246038247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rsidR="00AB3D42" w:rsidRPr="007C67D8" w:rsidRDefault="007122C5" w:rsidP="00AB3D42">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00AB3D42" w:rsidRPr="007C67D8">
                      <w:rPr>
                        <w:rFonts w:ascii="Arial" w:hAnsi="Arial" w:cs="Arial"/>
                        <w:color w:val="FFFFFF" w:themeColor="background1"/>
                        <w:sz w:val="14"/>
                        <w:szCs w:val="14"/>
                      </w:rPr>
                      <w:t>ID: DE 246038247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rsidR="00AB3D42" w:rsidRPr="00A072B3" w:rsidRDefault="00AB3D42" w:rsidP="00AB3D42">
    <w:pPr>
      <w:pStyle w:val="Fuzeile"/>
    </w:pPr>
  </w:p>
  <w:p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16362" w:rsidRDefault="00916362">
      <w:r>
        <w:separator/>
      </w:r>
    </w:p>
  </w:footnote>
  <w:footnote w:type="continuationSeparator" w:id="0">
    <w:p w:rsidR="00916362" w:rsidRDefault="009163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1529" w:rsidRDefault="00A31529" w:rsidP="00A31529">
    <w:pPr>
      <w:pStyle w:val="Kopfzeile"/>
      <w:tabs>
        <w:tab w:val="clear" w:pos="4818"/>
        <w:tab w:val="center" w:pos="142"/>
      </w:tabs>
    </w:pPr>
  </w:p>
  <w:p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Pr="007E6A6F" w:rsidRDefault="00A31529" w:rsidP="00A31529">
    <w:pPr>
      <w:pStyle w:val="Kopfzeile"/>
      <w:jc w:val="center"/>
      <w:rPr>
        <w:color w:val="0753A2"/>
      </w:rPr>
    </w:pPr>
  </w:p>
  <w:p w:rsidR="00A31529" w:rsidRDefault="00A31529" w:rsidP="00A31529">
    <w:pPr>
      <w:pStyle w:val="Kopfzeile"/>
    </w:pPr>
  </w:p>
  <w:p w:rsidR="00A31529" w:rsidRDefault="00A31529" w:rsidP="00A31529">
    <w:pPr>
      <w:tabs>
        <w:tab w:val="left" w:pos="7080"/>
      </w:tabs>
      <w:rPr>
        <w:rFonts w:ascii="Myriad Pro" w:hAnsi="Myriad Pro"/>
      </w:rPr>
    </w:pPr>
    <w:r>
      <w:rPr>
        <w:rFonts w:ascii="Myriad Pro" w:hAnsi="Myriad Pro"/>
      </w:rPr>
      <w:tab/>
    </w:r>
  </w:p>
  <w:p w:rsidR="00A31529" w:rsidRDefault="00A31529" w:rsidP="00A31529">
    <w:pPr>
      <w:rPr>
        <w:rFonts w:ascii="Myriad Pro" w:hAnsi="Myriad Pro"/>
      </w:rPr>
    </w:pPr>
  </w:p>
  <w:p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Default="00A31529" w:rsidP="00A31529">
    <w:pPr>
      <w:tabs>
        <w:tab w:val="left" w:pos="1867"/>
        <w:tab w:val="center" w:pos="4818"/>
      </w:tabs>
      <w:rPr>
        <w:rFonts w:ascii="Myriad Pro" w:hAnsi="Myriad Pro"/>
      </w:rPr>
    </w:pPr>
  </w:p>
  <w:p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AB3D42" w:rsidP="00AB3D42">
    <w:pPr>
      <w:pStyle w:val="Kopfzeile"/>
    </w:pPr>
  </w:p>
  <w:p w:rsidR="00AB3D42" w:rsidRPr="007E6A6F" w:rsidRDefault="00AB3D42" w:rsidP="00AB3D42">
    <w:pPr>
      <w:pStyle w:val="Kopfzeile"/>
      <w:jc w:val="center"/>
      <w:rPr>
        <w:color w:val="0753A2"/>
      </w:rPr>
    </w:pPr>
  </w:p>
  <w:p w:rsidR="00AB3D42" w:rsidRDefault="00AB3D42" w:rsidP="00AB3D42">
    <w:pPr>
      <w:pStyle w:val="Kopfzeile"/>
    </w:pPr>
  </w:p>
  <w:p w:rsidR="00AB3D42" w:rsidRDefault="00AB3D42" w:rsidP="00AB3D42">
    <w:pPr>
      <w:tabs>
        <w:tab w:val="left" w:pos="7080"/>
      </w:tabs>
      <w:rPr>
        <w:rFonts w:ascii="Myriad Pro" w:hAnsi="Myriad Pro"/>
      </w:rPr>
    </w:pPr>
    <w:r>
      <w:rPr>
        <w:rFonts w:ascii="Myriad Pro" w:hAnsi="Myriad Pro"/>
      </w:rPr>
      <w:tab/>
    </w:r>
  </w:p>
  <w:p w:rsidR="00AB3D42" w:rsidRDefault="00AB3D42" w:rsidP="00AB3D42">
    <w:pPr>
      <w:rPr>
        <w:rFonts w:ascii="Myriad Pro" w:hAnsi="Myriad Pro"/>
      </w:rPr>
    </w:pPr>
  </w:p>
  <w:p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1BF5884"/>
    <w:multiLevelType w:val="hybridMultilevel"/>
    <w:tmpl w:val="09EC0E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44924"/>
    <w:rsid w:val="00153215"/>
    <w:rsid w:val="00167B4C"/>
    <w:rsid w:val="001773B7"/>
    <w:rsid w:val="00185162"/>
    <w:rsid w:val="001975E2"/>
    <w:rsid w:val="001B72D4"/>
    <w:rsid w:val="001C79A0"/>
    <w:rsid w:val="001E520D"/>
    <w:rsid w:val="001F48FA"/>
    <w:rsid w:val="001F6710"/>
    <w:rsid w:val="0021514C"/>
    <w:rsid w:val="00217B46"/>
    <w:rsid w:val="00250BA4"/>
    <w:rsid w:val="0028077A"/>
    <w:rsid w:val="00281568"/>
    <w:rsid w:val="002C5F42"/>
    <w:rsid w:val="002D79C4"/>
    <w:rsid w:val="00307A27"/>
    <w:rsid w:val="003318C0"/>
    <w:rsid w:val="00336FB7"/>
    <w:rsid w:val="00337F6A"/>
    <w:rsid w:val="00342D79"/>
    <w:rsid w:val="003A19FB"/>
    <w:rsid w:val="003A7B09"/>
    <w:rsid w:val="003D1AE0"/>
    <w:rsid w:val="00480958"/>
    <w:rsid w:val="004A5EA1"/>
    <w:rsid w:val="004B0732"/>
    <w:rsid w:val="004B5DBE"/>
    <w:rsid w:val="0050749B"/>
    <w:rsid w:val="0051661D"/>
    <w:rsid w:val="005533C9"/>
    <w:rsid w:val="00555EC4"/>
    <w:rsid w:val="005561BE"/>
    <w:rsid w:val="00557427"/>
    <w:rsid w:val="00583DB4"/>
    <w:rsid w:val="005B107E"/>
    <w:rsid w:val="00611C79"/>
    <w:rsid w:val="00684E52"/>
    <w:rsid w:val="006C5223"/>
    <w:rsid w:val="006D6331"/>
    <w:rsid w:val="006D660E"/>
    <w:rsid w:val="00700691"/>
    <w:rsid w:val="0070180C"/>
    <w:rsid w:val="00707312"/>
    <w:rsid w:val="007122C5"/>
    <w:rsid w:val="0071595B"/>
    <w:rsid w:val="0073767E"/>
    <w:rsid w:val="0077312B"/>
    <w:rsid w:val="007A5F1B"/>
    <w:rsid w:val="007C1ED2"/>
    <w:rsid w:val="008822B8"/>
    <w:rsid w:val="00886249"/>
    <w:rsid w:val="0089296F"/>
    <w:rsid w:val="008A61F9"/>
    <w:rsid w:val="008C18AE"/>
    <w:rsid w:val="008E1809"/>
    <w:rsid w:val="00904BE0"/>
    <w:rsid w:val="00911E8A"/>
    <w:rsid w:val="00916362"/>
    <w:rsid w:val="0097555E"/>
    <w:rsid w:val="00992B04"/>
    <w:rsid w:val="009F3690"/>
    <w:rsid w:val="00A31529"/>
    <w:rsid w:val="00A55667"/>
    <w:rsid w:val="00A7664B"/>
    <w:rsid w:val="00A86640"/>
    <w:rsid w:val="00AB3D42"/>
    <w:rsid w:val="00AF7165"/>
    <w:rsid w:val="00B02E08"/>
    <w:rsid w:val="00B5145F"/>
    <w:rsid w:val="00B57887"/>
    <w:rsid w:val="00B57965"/>
    <w:rsid w:val="00B6667F"/>
    <w:rsid w:val="00B75274"/>
    <w:rsid w:val="00BA4AD8"/>
    <w:rsid w:val="00BD5B17"/>
    <w:rsid w:val="00BE2095"/>
    <w:rsid w:val="00BE30B4"/>
    <w:rsid w:val="00C03D07"/>
    <w:rsid w:val="00C11EA8"/>
    <w:rsid w:val="00C4281A"/>
    <w:rsid w:val="00C43676"/>
    <w:rsid w:val="00C533AF"/>
    <w:rsid w:val="00C61CF0"/>
    <w:rsid w:val="00C74C68"/>
    <w:rsid w:val="00C81520"/>
    <w:rsid w:val="00D17856"/>
    <w:rsid w:val="00D65F1A"/>
    <w:rsid w:val="00D84930"/>
    <w:rsid w:val="00DA0791"/>
    <w:rsid w:val="00DA1B8D"/>
    <w:rsid w:val="00DF08B2"/>
    <w:rsid w:val="00E065B2"/>
    <w:rsid w:val="00E13737"/>
    <w:rsid w:val="00E91A74"/>
    <w:rsid w:val="00EA4B3A"/>
    <w:rsid w:val="00EB0CAD"/>
    <w:rsid w:val="00EB38A3"/>
    <w:rsid w:val="00EC6243"/>
    <w:rsid w:val="00F54D40"/>
    <w:rsid w:val="00F615B2"/>
    <w:rsid w:val="00F674BB"/>
    <w:rsid w:val="00F8142A"/>
    <w:rsid w:val="00F84BAD"/>
    <w:rsid w:val="00FC3438"/>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F05FA3"/>
  <w15:docId w15:val="{E26EDD05-79A2-40E9-917F-7F683360CB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BE30B4"/>
    <w:pPr>
      <w:ind w:left="720"/>
      <w:contextualSpacing/>
    </w:pPr>
  </w:style>
  <w:style w:type="character" w:styleId="NichtaufgelsteErwhnung">
    <w:name w:val="Unresolved Mention"/>
    <w:basedOn w:val="Absatz-Standardschriftart"/>
    <w:uiPriority w:val="99"/>
    <w:semiHidden/>
    <w:unhideWhenUsed/>
    <w:rsid w:val="00FC343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s.wagner@ico.de"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presse" TargetMode="External"/><Relationship Id="rId5" Type="http://schemas.openxmlformats.org/officeDocument/2006/relationships/webSettings" Target="webSettings.xml"/><Relationship Id="rId15" Type="http://schemas.openxmlformats.org/officeDocument/2006/relationships/hyperlink" Target="http://www.ico.de" TargetMode="External"/><Relationship Id="rId23" Type="http://schemas.openxmlformats.org/officeDocument/2006/relationships/theme" Target="theme/theme1.xml"/><Relationship Id="rId10" Type="http://schemas.openxmlformats.org/officeDocument/2006/relationships/hyperlink" Target="https://www.ico.de/newland-scanner"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ico.de/newland-n7-cachalot-pro" TargetMode="External"/><Relationship Id="rId14" Type="http://schemas.openxmlformats.org/officeDocument/2006/relationships/hyperlink" Target="http://www.ico.de"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B17298-75C6-4977-9765-06A8BED786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708</Words>
  <Characters>4464</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cp:revision>
  <cp:lastPrinted>1900-12-31T23:00:00Z</cp:lastPrinted>
  <dcterms:created xsi:type="dcterms:W3CDTF">2021-04-14T11:35:00Z</dcterms:created>
  <dcterms:modified xsi:type="dcterms:W3CDTF">2021-04-20T09:15:00Z</dcterms:modified>
</cp:coreProperties>
</file>